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DE0D" w14:textId="77777777" w:rsidR="00B401F8" w:rsidRDefault="003D1815" w:rsidP="006F3DBC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6" behindDoc="0" locked="0" layoutInCell="1" allowOverlap="1" wp14:anchorId="675FD8C2" wp14:editId="272724B3">
            <wp:simplePos x="0" y="0"/>
            <wp:positionH relativeFrom="column">
              <wp:posOffset>-66675</wp:posOffset>
            </wp:positionH>
            <wp:positionV relativeFrom="paragraph">
              <wp:posOffset>-533400</wp:posOffset>
            </wp:positionV>
            <wp:extent cx="1645920" cy="658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BCA06" w14:textId="17CD8704" w:rsidR="00B50AFE" w:rsidRDefault="00B50AFE" w:rsidP="006F3DBC">
      <w:pPr>
        <w:spacing w:after="0" w:line="240" w:lineRule="auto"/>
        <w:jc w:val="center"/>
        <w:rPr>
          <w:b/>
          <w:sz w:val="72"/>
          <w:szCs w:val="28"/>
        </w:rPr>
      </w:pPr>
    </w:p>
    <w:p w14:paraId="4D521DAC" w14:textId="2F7E64F3" w:rsidR="00B50AFE" w:rsidRDefault="00B50AFE" w:rsidP="006F3DBC">
      <w:pPr>
        <w:spacing w:after="0" w:line="240" w:lineRule="auto"/>
        <w:jc w:val="center"/>
        <w:rPr>
          <w:b/>
          <w:sz w:val="72"/>
          <w:szCs w:val="28"/>
        </w:rPr>
      </w:pPr>
    </w:p>
    <w:p w14:paraId="624932FD" w14:textId="77777777" w:rsidR="00B50AFE" w:rsidRDefault="00B50AFE" w:rsidP="006F3DBC">
      <w:pPr>
        <w:spacing w:after="0" w:line="240" w:lineRule="auto"/>
        <w:jc w:val="center"/>
        <w:rPr>
          <w:b/>
          <w:sz w:val="72"/>
          <w:szCs w:val="28"/>
        </w:rPr>
      </w:pPr>
    </w:p>
    <w:p w14:paraId="661F5137" w14:textId="1BFE30EB" w:rsidR="003D1815" w:rsidRPr="00B50AFE" w:rsidRDefault="00B50AFE" w:rsidP="006F3DBC">
      <w:pPr>
        <w:spacing w:after="0" w:line="240" w:lineRule="auto"/>
        <w:jc w:val="center"/>
        <w:rPr>
          <w:b/>
          <w:sz w:val="72"/>
          <w:szCs w:val="28"/>
        </w:rPr>
      </w:pPr>
      <w:r>
        <w:rPr>
          <w:b/>
          <w:noProof/>
          <w:sz w:val="72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57486B" wp14:editId="23B79DCD">
                <wp:simplePos x="0" y="0"/>
                <wp:positionH relativeFrom="column">
                  <wp:posOffset>-65599</wp:posOffset>
                </wp:positionH>
                <wp:positionV relativeFrom="paragraph">
                  <wp:posOffset>565040</wp:posOffset>
                </wp:positionV>
                <wp:extent cx="656777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77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5891" id="Straight Connector 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44.5pt" to="51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A315B0">
        <w:rPr>
          <w:b/>
          <w:sz w:val="72"/>
          <w:szCs w:val="28"/>
        </w:rPr>
        <w:t xml:space="preserve">Financial Reporting Form </w:t>
      </w:r>
      <w:r w:rsidRPr="00B50AFE">
        <w:rPr>
          <w:b/>
          <w:sz w:val="72"/>
          <w:szCs w:val="28"/>
        </w:rPr>
        <w:t>Instructions</w:t>
      </w:r>
    </w:p>
    <w:p w14:paraId="73ABD20F" w14:textId="64D3721F" w:rsidR="00B50AFE" w:rsidRDefault="001D7C3E" w:rsidP="006F3DBC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2019</w:t>
      </w:r>
    </w:p>
    <w:p w14:paraId="07D8DCB4" w14:textId="65415C20" w:rsidR="00B50AFE" w:rsidRDefault="00B50AFE" w:rsidP="006F3DBC">
      <w:pPr>
        <w:spacing w:after="0" w:line="240" w:lineRule="auto"/>
        <w:rPr>
          <w:sz w:val="48"/>
        </w:rPr>
      </w:pPr>
      <w:r w:rsidRPr="00B50AF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EB551FB" wp14:editId="562D92D8">
                <wp:simplePos x="0" y="0"/>
                <wp:positionH relativeFrom="column">
                  <wp:posOffset>378725</wp:posOffset>
                </wp:positionH>
                <wp:positionV relativeFrom="paragraph">
                  <wp:posOffset>341507</wp:posOffset>
                </wp:positionV>
                <wp:extent cx="5677080" cy="1937982"/>
                <wp:effectExtent l="0" t="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080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9B52" w14:textId="2BAD1255" w:rsidR="00B401F8" w:rsidRPr="00B50AFE" w:rsidRDefault="00B401F8" w:rsidP="00B50AFE">
                            <w:pPr>
                              <w:rPr>
                                <w:sz w:val="48"/>
                              </w:rPr>
                            </w:pPr>
                            <w:r w:rsidRPr="00B50AFE">
                              <w:rPr>
                                <w:sz w:val="48"/>
                              </w:rPr>
                              <w:t xml:space="preserve">What’s </w:t>
                            </w:r>
                            <w:r w:rsidR="00E74A27" w:rsidRPr="00B50AFE">
                              <w:rPr>
                                <w:sz w:val="48"/>
                              </w:rPr>
                              <w:t>inside</w:t>
                            </w:r>
                            <w:r w:rsidRPr="00B50AFE">
                              <w:rPr>
                                <w:sz w:val="48"/>
                              </w:rPr>
                              <w:t>?</w:t>
                            </w:r>
                          </w:p>
                          <w:p w14:paraId="39A17D91" w14:textId="43DFECCD" w:rsidR="00B401F8" w:rsidRPr="00B50AFE" w:rsidRDefault="00B401F8" w:rsidP="00B50A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44"/>
                              </w:rPr>
                            </w:pPr>
                            <w:r w:rsidRPr="00B50AFE">
                              <w:rPr>
                                <w:sz w:val="36"/>
                                <w:szCs w:val="44"/>
                              </w:rPr>
                              <w:t xml:space="preserve">Changes for the </w:t>
                            </w:r>
                            <w:r w:rsidR="003067B8">
                              <w:rPr>
                                <w:sz w:val="36"/>
                                <w:szCs w:val="44"/>
                              </w:rPr>
                              <w:t>2019</w:t>
                            </w:r>
                            <w:r w:rsidRPr="00B50AFE">
                              <w:rPr>
                                <w:sz w:val="36"/>
                                <w:szCs w:val="44"/>
                              </w:rPr>
                              <w:t xml:space="preserve"> Form and Process………</w:t>
                            </w:r>
                            <w:r>
                              <w:rPr>
                                <w:sz w:val="36"/>
                                <w:szCs w:val="44"/>
                              </w:rPr>
                              <w:t xml:space="preserve">Page </w:t>
                            </w:r>
                            <w:r w:rsidR="00D85ECB">
                              <w:rPr>
                                <w:sz w:val="36"/>
                                <w:szCs w:val="44"/>
                              </w:rPr>
                              <w:t>2</w:t>
                            </w:r>
                          </w:p>
                          <w:p w14:paraId="035B0948" w14:textId="5F325D4D" w:rsidR="00B401F8" w:rsidRPr="00B50AFE" w:rsidRDefault="00B401F8" w:rsidP="00B50A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44"/>
                              </w:rPr>
                              <w:t xml:space="preserve">Instructions for </w:t>
                            </w:r>
                            <w:r w:rsidR="00A315B0">
                              <w:rPr>
                                <w:sz w:val="36"/>
                                <w:szCs w:val="44"/>
                              </w:rPr>
                              <w:t>Financial Reporting Form……</w:t>
                            </w:r>
                            <w:r w:rsidR="00A315B0" w:rsidRPr="00CD274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B50AFE">
                              <w:rPr>
                                <w:sz w:val="36"/>
                                <w:szCs w:val="44"/>
                              </w:rPr>
                              <w:t xml:space="preserve">Page </w:t>
                            </w:r>
                            <w:r w:rsidR="00C57DF0">
                              <w:rPr>
                                <w:sz w:val="36"/>
                                <w:szCs w:val="44"/>
                              </w:rPr>
                              <w:t>2</w:t>
                            </w:r>
                          </w:p>
                          <w:p w14:paraId="171F75FB" w14:textId="1C7BF4D9" w:rsidR="00B401F8" w:rsidRPr="00B50AFE" w:rsidRDefault="00B401F8" w:rsidP="00B50A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44"/>
                              </w:rPr>
                              <w:t>Instructions to submit data online……………….Page</w:t>
                            </w:r>
                            <w:r w:rsidR="00C57DF0">
                              <w:rPr>
                                <w:sz w:val="36"/>
                                <w:szCs w:val="44"/>
                              </w:rPr>
                              <w:t xml:space="preserve"> 3</w:t>
                            </w:r>
                          </w:p>
                          <w:p w14:paraId="001AFE5A" w14:textId="77777777" w:rsidR="00B401F8" w:rsidRPr="00B50AFE" w:rsidRDefault="00B401F8" w:rsidP="00B50AFE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E814BF9" w14:textId="4D3BDE88" w:rsidR="00B401F8" w:rsidRDefault="00B40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5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8pt;margin-top:26.9pt;width:447pt;height:152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">
                <v:textbox>
                  <w:txbxContent>
                    <w:p w14:paraId="53A69B52" w14:textId="2BAD1255" w:rsidR="00B401F8" w:rsidRPr="00B50AFE" w:rsidRDefault="00B401F8" w:rsidP="00B50AFE">
                      <w:pPr>
                        <w:rPr>
                          <w:sz w:val="48"/>
                        </w:rPr>
                      </w:pPr>
                      <w:r w:rsidRPr="00B50AFE">
                        <w:rPr>
                          <w:sz w:val="48"/>
                        </w:rPr>
                        <w:t xml:space="preserve">What’s </w:t>
                      </w:r>
                      <w:r w:rsidR="00E74A27" w:rsidRPr="00B50AFE">
                        <w:rPr>
                          <w:sz w:val="48"/>
                        </w:rPr>
                        <w:t>inside</w:t>
                      </w:r>
                      <w:r w:rsidRPr="00B50AFE">
                        <w:rPr>
                          <w:sz w:val="48"/>
                        </w:rPr>
                        <w:t>?</w:t>
                      </w:r>
                    </w:p>
                    <w:p w14:paraId="39A17D91" w14:textId="43DFECCD" w:rsidR="00B401F8" w:rsidRPr="00B50AFE" w:rsidRDefault="00B401F8" w:rsidP="00B50A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44"/>
                        </w:rPr>
                      </w:pPr>
                      <w:r w:rsidRPr="00B50AFE">
                        <w:rPr>
                          <w:sz w:val="36"/>
                          <w:szCs w:val="44"/>
                        </w:rPr>
                        <w:t xml:space="preserve">Changes for the </w:t>
                      </w:r>
                      <w:r w:rsidR="003067B8">
                        <w:rPr>
                          <w:sz w:val="36"/>
                          <w:szCs w:val="44"/>
                        </w:rPr>
                        <w:t>2019</w:t>
                      </w:r>
                      <w:r w:rsidRPr="00B50AFE">
                        <w:rPr>
                          <w:sz w:val="36"/>
                          <w:szCs w:val="44"/>
                        </w:rPr>
                        <w:t xml:space="preserve"> Form and Process………</w:t>
                      </w:r>
                      <w:r>
                        <w:rPr>
                          <w:sz w:val="36"/>
                          <w:szCs w:val="44"/>
                        </w:rPr>
                        <w:t xml:space="preserve">Page </w:t>
                      </w:r>
                      <w:r w:rsidR="00D85ECB">
                        <w:rPr>
                          <w:sz w:val="36"/>
                          <w:szCs w:val="44"/>
                        </w:rPr>
                        <w:t>2</w:t>
                      </w:r>
                    </w:p>
                    <w:p w14:paraId="035B0948" w14:textId="5F325D4D" w:rsidR="00B401F8" w:rsidRPr="00B50AFE" w:rsidRDefault="00B401F8" w:rsidP="00B50A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44"/>
                        </w:rPr>
                      </w:pPr>
                      <w:r>
                        <w:rPr>
                          <w:sz w:val="36"/>
                          <w:szCs w:val="44"/>
                        </w:rPr>
                        <w:t xml:space="preserve">Instructions for </w:t>
                      </w:r>
                      <w:r w:rsidR="00A315B0">
                        <w:rPr>
                          <w:sz w:val="36"/>
                          <w:szCs w:val="44"/>
                        </w:rPr>
                        <w:t>Financial Reporting Form……</w:t>
                      </w:r>
                      <w:r w:rsidR="00A315B0" w:rsidRPr="00CD2742">
                        <w:rPr>
                          <w:sz w:val="36"/>
                          <w:szCs w:val="36"/>
                        </w:rPr>
                        <w:t>.</w:t>
                      </w:r>
                      <w:r w:rsidRPr="00B50AFE">
                        <w:rPr>
                          <w:sz w:val="36"/>
                          <w:szCs w:val="44"/>
                        </w:rPr>
                        <w:t xml:space="preserve">Page </w:t>
                      </w:r>
                      <w:r w:rsidR="00C57DF0">
                        <w:rPr>
                          <w:sz w:val="36"/>
                          <w:szCs w:val="44"/>
                        </w:rPr>
                        <w:t>2</w:t>
                      </w:r>
                    </w:p>
                    <w:p w14:paraId="171F75FB" w14:textId="1C7BF4D9" w:rsidR="00B401F8" w:rsidRPr="00B50AFE" w:rsidRDefault="00B401F8" w:rsidP="00B50A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44"/>
                        </w:rPr>
                      </w:pPr>
                      <w:r>
                        <w:rPr>
                          <w:sz w:val="36"/>
                          <w:szCs w:val="44"/>
                        </w:rPr>
                        <w:t>Instructions to submit data online……………….Page</w:t>
                      </w:r>
                      <w:r w:rsidR="00C57DF0">
                        <w:rPr>
                          <w:sz w:val="36"/>
                          <w:szCs w:val="44"/>
                        </w:rPr>
                        <w:t xml:space="preserve"> 3</w:t>
                      </w:r>
                    </w:p>
                    <w:p w14:paraId="001AFE5A" w14:textId="77777777" w:rsidR="00B401F8" w:rsidRPr="00B50AFE" w:rsidRDefault="00B401F8" w:rsidP="00B50AFE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14:paraId="5E814BF9" w14:textId="4D3BDE88" w:rsidR="00B401F8" w:rsidRDefault="00B401F8"/>
                  </w:txbxContent>
                </v:textbox>
              </v:shape>
            </w:pict>
          </mc:Fallback>
        </mc:AlternateContent>
      </w:r>
    </w:p>
    <w:p w14:paraId="25979499" w14:textId="28AF3999" w:rsidR="00B50AFE" w:rsidRDefault="00B50AFE" w:rsidP="006F3DBC">
      <w:pPr>
        <w:spacing w:after="0" w:line="240" w:lineRule="auto"/>
        <w:rPr>
          <w:sz w:val="48"/>
        </w:rPr>
      </w:pPr>
    </w:p>
    <w:p w14:paraId="7B84FDB1" w14:textId="2B65736A" w:rsidR="00B50AFE" w:rsidRPr="00B50AFE" w:rsidRDefault="00B50AFE" w:rsidP="006F3DBC">
      <w:pPr>
        <w:spacing w:after="0" w:line="240" w:lineRule="auto"/>
        <w:rPr>
          <w:b/>
        </w:rPr>
      </w:pPr>
      <w:r w:rsidRPr="00B50AFE">
        <w:rPr>
          <w:b/>
        </w:rPr>
        <w:br w:type="page"/>
      </w:r>
    </w:p>
    <w:p w14:paraId="4CCFF5B0" w14:textId="39D38A23" w:rsidR="00B50AFE" w:rsidRDefault="00B50AFE" w:rsidP="006F3DBC">
      <w:pPr>
        <w:spacing w:after="0" w:line="240" w:lineRule="auto"/>
        <w:rPr>
          <w:b/>
          <w:sz w:val="28"/>
          <w:u w:val="single"/>
        </w:rPr>
      </w:pPr>
      <w:r w:rsidRPr="00B877BB">
        <w:rPr>
          <w:b/>
          <w:sz w:val="28"/>
          <w:u w:val="single"/>
        </w:rPr>
        <w:lastRenderedPageBreak/>
        <w:t xml:space="preserve">Changes for the </w:t>
      </w:r>
      <w:r w:rsidR="003067B8">
        <w:rPr>
          <w:b/>
          <w:sz w:val="28"/>
          <w:u w:val="single"/>
        </w:rPr>
        <w:t>2019</w:t>
      </w:r>
      <w:r w:rsidRPr="00B877BB">
        <w:rPr>
          <w:b/>
          <w:sz w:val="28"/>
          <w:u w:val="single"/>
        </w:rPr>
        <w:t xml:space="preserve"> Form and Process</w:t>
      </w:r>
    </w:p>
    <w:p w14:paraId="7AFD9D5D" w14:textId="77777777" w:rsidR="006F3DBC" w:rsidRPr="006F3DBC" w:rsidRDefault="006F3DBC" w:rsidP="006F3DBC">
      <w:pPr>
        <w:spacing w:after="0" w:line="240" w:lineRule="auto"/>
        <w:rPr>
          <w:b/>
          <w:sz w:val="20"/>
          <w:u w:val="single"/>
        </w:rPr>
      </w:pPr>
    </w:p>
    <w:p w14:paraId="49ABF9CA" w14:textId="09676D3B" w:rsidR="0020172A" w:rsidRDefault="00B50AFE" w:rsidP="006F3DBC">
      <w:pPr>
        <w:spacing w:after="0" w:line="240" w:lineRule="auto"/>
      </w:pPr>
      <w:r w:rsidRPr="00B877BB">
        <w:t xml:space="preserve">In the past, </w:t>
      </w:r>
      <w:r w:rsidR="002315B8">
        <w:t>sites were</w:t>
      </w:r>
      <w:r w:rsidRPr="00B877BB">
        <w:t xml:space="preserve"> </w:t>
      </w:r>
      <w:r w:rsidR="002315B8">
        <w:t>required</w:t>
      </w:r>
      <w:r w:rsidRPr="00B877BB">
        <w:t xml:space="preserve"> to complete</w:t>
      </w:r>
      <w:r w:rsidR="002315B8">
        <w:t xml:space="preserve"> a </w:t>
      </w:r>
      <w:r w:rsidR="00A315B0">
        <w:t>Financial Reporting</w:t>
      </w:r>
      <w:r w:rsidR="002315B8">
        <w:t xml:space="preserve"> Form, </w:t>
      </w:r>
      <w:r w:rsidR="0020172A">
        <w:t xml:space="preserve">and to </w:t>
      </w:r>
      <w:r w:rsidRPr="00B877BB">
        <w:t>email that form</w:t>
      </w:r>
      <w:r w:rsidR="00A315B0">
        <w:t xml:space="preserve"> to CEA</w:t>
      </w:r>
      <w:r w:rsidR="00E00D7A">
        <w:t xml:space="preserve"> with supporting documentation</w:t>
      </w:r>
      <w:r w:rsidRPr="00B877BB">
        <w:t xml:space="preserve">.  </w:t>
      </w:r>
      <w:r w:rsidR="002315B8">
        <w:t>T</w:t>
      </w:r>
      <w:r w:rsidR="00A315B0">
        <w:t xml:space="preserve">here was one </w:t>
      </w:r>
      <w:r w:rsidR="00C57DF0">
        <w:t>Financial Reporting F</w:t>
      </w:r>
      <w:r w:rsidR="004B7E96">
        <w:t xml:space="preserve">orm for </w:t>
      </w:r>
      <w:r w:rsidR="00A315B0">
        <w:t xml:space="preserve">all </w:t>
      </w:r>
      <w:r w:rsidR="004B7E96">
        <w:t>site</w:t>
      </w:r>
      <w:r w:rsidR="00A315B0">
        <w:t xml:space="preserve"> types</w:t>
      </w:r>
      <w:r w:rsidR="00C20A67">
        <w:t xml:space="preserve">.  </w:t>
      </w:r>
      <w:r w:rsidR="00AD3868">
        <w:t>A couple of years ago,</w:t>
      </w:r>
      <w:r w:rsidR="00B07850">
        <w:t xml:space="preserve"> an Excel version of this document with automated calculations was used for most sites.  </w:t>
      </w:r>
      <w:r w:rsidR="00126A1A">
        <w:t xml:space="preserve">Last year, </w:t>
      </w:r>
      <w:r w:rsidR="00126A1A">
        <w:t xml:space="preserve">the process </w:t>
      </w:r>
      <w:r w:rsidR="00126A1A">
        <w:t>included updated</w:t>
      </w:r>
      <w:r w:rsidR="00126A1A">
        <w:t xml:space="preserve"> instructions (this document) and an online submission form for the financial reports.  The instructions have one form in Word</w:t>
      </w:r>
      <w:r w:rsidR="00126A1A">
        <w:rPr>
          <w:rStyle w:val="CommentReference"/>
          <w:sz w:val="22"/>
          <w:szCs w:val="22"/>
        </w:rPr>
        <w:t xml:space="preserve">, </w:t>
      </w:r>
      <w:r w:rsidR="00126A1A">
        <w:t xml:space="preserve">with no automatic calculations made.  </w:t>
      </w:r>
      <w:r w:rsidR="00126A1A" w:rsidRPr="00B877BB">
        <w:t>Th</w:t>
      </w:r>
      <w:r w:rsidR="00126A1A">
        <w:t>e</w:t>
      </w:r>
      <w:r w:rsidR="00126A1A" w:rsidRPr="00B877BB">
        <w:t xml:space="preserve"> new process ask</w:t>
      </w:r>
      <w:r w:rsidR="00126A1A">
        <w:t>ed</w:t>
      </w:r>
      <w:r w:rsidR="00126A1A" w:rsidRPr="00B877BB">
        <w:t xml:space="preserve"> sites to </w:t>
      </w:r>
      <w:r w:rsidR="00126A1A">
        <w:t>enter selected data into an online form and attach supporting documentation.</w:t>
      </w:r>
      <w:r w:rsidR="00126A1A" w:rsidRPr="00B877BB">
        <w:t xml:space="preserve"> </w:t>
      </w:r>
      <w:r w:rsidR="00126A1A">
        <w:t xml:space="preserve">There continues to be one Financial Reporting Form for all site types.  </w:t>
      </w:r>
    </w:p>
    <w:p w14:paraId="75B3C632" w14:textId="77777777" w:rsidR="0020172A" w:rsidRDefault="0020172A" w:rsidP="006F3DBC">
      <w:pPr>
        <w:spacing w:after="0" w:line="240" w:lineRule="auto"/>
      </w:pPr>
    </w:p>
    <w:p w14:paraId="7433F1EE" w14:textId="3C3108A0" w:rsidR="00B877BB" w:rsidRDefault="0020172A" w:rsidP="006F3DBC">
      <w:pPr>
        <w:spacing w:after="0" w:line="240" w:lineRule="auto"/>
      </w:pPr>
      <w:r>
        <w:t xml:space="preserve">This year, </w:t>
      </w:r>
      <w:r w:rsidR="00AD3868">
        <w:t>the</w:t>
      </w:r>
      <w:r w:rsidR="00036A08">
        <w:t>re are no significant changes.</w:t>
      </w:r>
    </w:p>
    <w:p w14:paraId="33E84DCC" w14:textId="77777777" w:rsidR="006F3DBC" w:rsidRPr="00B877BB" w:rsidRDefault="006F3DBC" w:rsidP="006F3DBC">
      <w:pPr>
        <w:spacing w:after="0" w:line="240" w:lineRule="auto"/>
      </w:pPr>
    </w:p>
    <w:p w14:paraId="11AF2C59" w14:textId="2DC5EF19" w:rsidR="00B877BB" w:rsidRPr="00B877BB" w:rsidRDefault="00B877BB" w:rsidP="006F3DBC">
      <w:pPr>
        <w:spacing w:after="0" w:line="240" w:lineRule="auto"/>
        <w:rPr>
          <w:b/>
          <w:sz w:val="28"/>
          <w:u w:val="single"/>
        </w:rPr>
      </w:pPr>
      <w:r w:rsidRPr="00B877BB">
        <w:rPr>
          <w:b/>
          <w:sz w:val="28"/>
          <w:u w:val="single"/>
        </w:rPr>
        <w:t xml:space="preserve">Instructions for the </w:t>
      </w:r>
      <w:r w:rsidR="00A315B0">
        <w:rPr>
          <w:b/>
          <w:sz w:val="28"/>
          <w:u w:val="single"/>
        </w:rPr>
        <w:t>Financial Reporting</w:t>
      </w:r>
      <w:r w:rsidRPr="00B877BB">
        <w:rPr>
          <w:b/>
          <w:sz w:val="28"/>
          <w:u w:val="single"/>
        </w:rPr>
        <w:t xml:space="preserve"> Form</w:t>
      </w:r>
    </w:p>
    <w:p w14:paraId="11F4F897" w14:textId="77777777" w:rsidR="006F3DBC" w:rsidRDefault="006F3DBC" w:rsidP="006F3DBC">
      <w:pPr>
        <w:spacing w:after="0" w:line="240" w:lineRule="auto"/>
        <w:jc w:val="center"/>
        <w:rPr>
          <w:b/>
          <w:color w:val="FF0000"/>
        </w:rPr>
      </w:pPr>
    </w:p>
    <w:p w14:paraId="722F820E" w14:textId="5A7748E2" w:rsidR="00A315B0" w:rsidRPr="00A315B0" w:rsidRDefault="00C57DF0" w:rsidP="006F3DBC">
      <w:pPr>
        <w:spacing w:after="0" w:line="240" w:lineRule="auto"/>
      </w:pPr>
      <w:r>
        <w:t xml:space="preserve">Gather </w:t>
      </w:r>
      <w:r w:rsidR="00A315B0" w:rsidRPr="00A315B0">
        <w:t xml:space="preserve">the documents listed below for the </w:t>
      </w:r>
      <w:r w:rsidR="00A315B0" w:rsidRPr="00CD2742">
        <w:rPr>
          <w:u w:val="single"/>
        </w:rPr>
        <w:t>last</w:t>
      </w:r>
      <w:r w:rsidR="00A315B0" w:rsidRPr="00A315B0">
        <w:t xml:space="preserve"> full fiscal year:</w:t>
      </w:r>
    </w:p>
    <w:p w14:paraId="34DAB3ED" w14:textId="77777777" w:rsidR="00A315B0" w:rsidRPr="00A315B0" w:rsidRDefault="00A315B0" w:rsidP="006F3DBC">
      <w:pPr>
        <w:spacing w:after="0" w:line="240" w:lineRule="auto"/>
        <w:rPr>
          <w:b/>
        </w:rPr>
      </w:pPr>
    </w:p>
    <w:p w14:paraId="623616CA" w14:textId="52680B46" w:rsidR="00A315B0" w:rsidRPr="00A315B0" w:rsidRDefault="00C57DF0" w:rsidP="00A315B0">
      <w:pPr>
        <w:spacing w:after="0" w:line="240" w:lineRule="auto"/>
        <w:ind w:left="720"/>
      </w:pPr>
      <w:r>
        <w:t>1</w:t>
      </w:r>
      <w:r w:rsidR="00A315B0" w:rsidRPr="00A315B0">
        <w:t>. Balance Sheet</w:t>
      </w:r>
    </w:p>
    <w:p w14:paraId="1D2B5EF6" w14:textId="65440175" w:rsidR="006F3DBC" w:rsidRDefault="00C57DF0" w:rsidP="00A315B0">
      <w:pPr>
        <w:spacing w:after="0" w:line="240" w:lineRule="auto"/>
        <w:ind w:left="720"/>
      </w:pPr>
      <w:r>
        <w:t>2</w:t>
      </w:r>
      <w:r w:rsidR="00A315B0" w:rsidRPr="00A315B0">
        <w:t>. Revenue and Expenditures (Profit and Loss) Statement</w:t>
      </w:r>
    </w:p>
    <w:p w14:paraId="7CF8C196" w14:textId="7BA04F5B" w:rsidR="00C50ABB" w:rsidRPr="00CD2742" w:rsidRDefault="00C50ABB" w:rsidP="00A315B0">
      <w:pPr>
        <w:spacing w:after="0" w:line="240" w:lineRule="auto"/>
        <w:ind w:left="720"/>
        <w:rPr>
          <w:lang w:val="fr-FR"/>
        </w:rPr>
      </w:pPr>
      <w:r w:rsidRPr="00CD2742">
        <w:rPr>
          <w:lang w:val="fr-FR"/>
        </w:rPr>
        <w:t>3. Budget document</w:t>
      </w:r>
    </w:p>
    <w:p w14:paraId="501152AA" w14:textId="755D474E" w:rsidR="00C50ABB" w:rsidRPr="00CD2742" w:rsidRDefault="00C50ABB" w:rsidP="00A315B0">
      <w:pPr>
        <w:spacing w:after="0" w:line="240" w:lineRule="auto"/>
        <w:ind w:left="720"/>
        <w:rPr>
          <w:lang w:val="fr-FR"/>
        </w:rPr>
      </w:pPr>
      <w:r w:rsidRPr="00CD2742">
        <w:rPr>
          <w:lang w:val="fr-FR"/>
        </w:rPr>
        <w:t xml:space="preserve">4. </w:t>
      </w:r>
      <w:r w:rsidRPr="00B70D28">
        <w:rPr>
          <w:lang w:val="fr-FR"/>
        </w:rPr>
        <w:t>Other</w:t>
      </w:r>
      <w:r w:rsidRPr="00CD2742">
        <w:rPr>
          <w:lang w:val="fr-FR"/>
        </w:rPr>
        <w:t xml:space="preserve"> relevant</w:t>
      </w:r>
      <w:r w:rsidR="00CD2742">
        <w:rPr>
          <w:lang w:val="fr-FR"/>
        </w:rPr>
        <w:t xml:space="preserve"> </w:t>
      </w:r>
      <w:r w:rsidRPr="00CD2742">
        <w:rPr>
          <w:lang w:val="fr-FR"/>
        </w:rPr>
        <w:t>financial documentation</w:t>
      </w:r>
    </w:p>
    <w:p w14:paraId="4D25A2ED" w14:textId="77777777" w:rsidR="0020172A" w:rsidRPr="00CD2742" w:rsidRDefault="0020172A" w:rsidP="0020172A">
      <w:pPr>
        <w:spacing w:after="0" w:line="240" w:lineRule="auto"/>
        <w:rPr>
          <w:lang w:val="fr-FR"/>
        </w:rPr>
      </w:pPr>
    </w:p>
    <w:p w14:paraId="37E83457" w14:textId="6B50CD8F" w:rsidR="0020172A" w:rsidRDefault="0020172A" w:rsidP="0020172A">
      <w:pPr>
        <w:spacing w:after="0" w:line="240" w:lineRule="auto"/>
      </w:pPr>
      <w:r>
        <w:t xml:space="preserve">Gather the documents listed below for the </w:t>
      </w:r>
      <w:r w:rsidRPr="00CD2742">
        <w:rPr>
          <w:u w:val="single"/>
        </w:rPr>
        <w:t>next</w:t>
      </w:r>
      <w:r>
        <w:t xml:space="preserve"> full fiscal year:</w:t>
      </w:r>
    </w:p>
    <w:p w14:paraId="622CCA11" w14:textId="77777777" w:rsidR="0020172A" w:rsidRDefault="0020172A" w:rsidP="0020172A">
      <w:pPr>
        <w:spacing w:after="0" w:line="240" w:lineRule="auto"/>
      </w:pPr>
    </w:p>
    <w:p w14:paraId="15EAC98F" w14:textId="6B4327EC" w:rsidR="0020172A" w:rsidRPr="00A315B0" w:rsidRDefault="0020172A" w:rsidP="0020172A">
      <w:pPr>
        <w:spacing w:after="0" w:line="240" w:lineRule="auto"/>
      </w:pPr>
      <w:r>
        <w:t>1. Budget document</w:t>
      </w:r>
    </w:p>
    <w:p w14:paraId="320A8EA8" w14:textId="038C87D8" w:rsidR="006F3DBC" w:rsidRPr="00A315B0" w:rsidRDefault="006F3DBC" w:rsidP="006F3DBC">
      <w:pPr>
        <w:spacing w:after="0" w:line="240" w:lineRule="auto"/>
        <w:jc w:val="center"/>
        <w:rPr>
          <w:b/>
          <w:color w:val="FF0000"/>
        </w:rPr>
      </w:pPr>
    </w:p>
    <w:p w14:paraId="160E4A59" w14:textId="4E06798E" w:rsidR="006F3DBC" w:rsidRPr="00A315B0" w:rsidRDefault="003E4BEE" w:rsidP="00A315B0">
      <w:pPr>
        <w:spacing w:after="0" w:line="240" w:lineRule="auto"/>
      </w:pPr>
      <w:r>
        <w:t>For multi-sites, t</w:t>
      </w:r>
      <w:r w:rsidR="00A315B0" w:rsidRPr="00A315B0">
        <w:t>here are two options for completing the Financial Report for multisite programs and institutions.</w:t>
      </w:r>
    </w:p>
    <w:p w14:paraId="34EAB3B3" w14:textId="3331121A" w:rsidR="00A315B0" w:rsidRPr="00A315B0" w:rsidRDefault="00A315B0" w:rsidP="00A315B0">
      <w:pPr>
        <w:spacing w:after="0" w:line="240" w:lineRule="auto"/>
        <w:rPr>
          <w:b/>
        </w:rPr>
      </w:pPr>
    </w:p>
    <w:p w14:paraId="7C9036A0" w14:textId="1100899B" w:rsidR="00A315B0" w:rsidRPr="00A315B0" w:rsidRDefault="00A315B0" w:rsidP="00A315B0">
      <w:pPr>
        <w:spacing w:after="0" w:line="240" w:lineRule="auto"/>
        <w:ind w:left="720"/>
      </w:pPr>
      <w:r w:rsidRPr="00A315B0">
        <w:t xml:space="preserve">If accounting is done locally, submit </w:t>
      </w:r>
      <w:r w:rsidR="00C57DF0">
        <w:t xml:space="preserve">financial data </w:t>
      </w:r>
      <w:r>
        <w:t>online</w:t>
      </w:r>
      <w:r w:rsidRPr="00A315B0">
        <w:t xml:space="preserve"> for each site.</w:t>
      </w:r>
    </w:p>
    <w:p w14:paraId="768AE83D" w14:textId="0E2DD206" w:rsidR="00A315B0" w:rsidRPr="00A315B0" w:rsidRDefault="00A315B0" w:rsidP="00A315B0">
      <w:pPr>
        <w:spacing w:after="0" w:line="240" w:lineRule="auto"/>
        <w:ind w:left="720"/>
      </w:pPr>
      <w:r w:rsidRPr="00A315B0">
        <w:t>If accounting is done centrally, submit</w:t>
      </w:r>
      <w:r w:rsidR="00C57DF0">
        <w:t xml:space="preserve"> financial data</w:t>
      </w:r>
      <w:r w:rsidRPr="00A315B0">
        <w:t xml:space="preserve"> </w:t>
      </w:r>
      <w:r w:rsidRPr="00C57DF0">
        <w:rPr>
          <w:u w:val="single"/>
        </w:rPr>
        <w:t>one time</w:t>
      </w:r>
      <w:r>
        <w:t xml:space="preserve"> online</w:t>
      </w:r>
      <w:r w:rsidRPr="00A315B0">
        <w:t xml:space="preserve"> for all sites.</w:t>
      </w:r>
    </w:p>
    <w:p w14:paraId="1CCF41C3" w14:textId="77777777" w:rsidR="00A315B0" w:rsidRPr="00A315B0" w:rsidRDefault="00A315B0">
      <w:pPr>
        <w:rPr>
          <w:b/>
        </w:rPr>
      </w:pPr>
    </w:p>
    <w:p w14:paraId="6F6C7D9F" w14:textId="25541F71" w:rsidR="00C50ABB" w:rsidRDefault="00C50ABB">
      <w:pPr>
        <w:rPr>
          <w:b/>
          <w:sz w:val="28"/>
          <w:u w:val="single"/>
        </w:rPr>
      </w:pPr>
      <w:r>
        <w:t xml:space="preserve">Fill out the online </w:t>
      </w:r>
      <w:r w:rsidR="0020172A">
        <w:t>F</w:t>
      </w:r>
      <w:r>
        <w:t xml:space="preserve">inancial </w:t>
      </w:r>
      <w:r w:rsidR="0020172A">
        <w:t>R</w:t>
      </w:r>
      <w:r>
        <w:t xml:space="preserve">eporting </w:t>
      </w:r>
      <w:r w:rsidR="0020172A">
        <w:t>F</w:t>
      </w:r>
      <w:r>
        <w:t>orm for your site(s) and attach supporting documentation.  After clicking the submit button, a receipt confirmation and a copy of the submission will be emailed to the email address indicated.</w:t>
      </w:r>
    </w:p>
    <w:p w14:paraId="10FEE894" w14:textId="2A5258BE" w:rsidR="00C50ABB" w:rsidRDefault="00C50ABB" w:rsidP="00C50ABB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Financial Reporting Forms</w:t>
      </w:r>
      <w:r w:rsidRPr="00B877BB">
        <w:rPr>
          <w:b/>
          <w:color w:val="FF0000"/>
        </w:rPr>
        <w:t xml:space="preserve"> </w:t>
      </w:r>
      <w:r w:rsidR="00E60E7E">
        <w:rPr>
          <w:b/>
          <w:color w:val="FF0000"/>
        </w:rPr>
        <w:t>must be submitted by</w:t>
      </w:r>
      <w:r w:rsidRPr="00B877BB">
        <w:rPr>
          <w:b/>
          <w:color w:val="FF0000"/>
        </w:rPr>
        <w:t xml:space="preserve"> on February 15, </w:t>
      </w:r>
      <w:r w:rsidR="003067B8">
        <w:rPr>
          <w:b/>
          <w:color w:val="FF0000"/>
        </w:rPr>
        <w:t>2019</w:t>
      </w:r>
      <w:r w:rsidRPr="00B877BB">
        <w:rPr>
          <w:b/>
          <w:color w:val="FF0000"/>
        </w:rPr>
        <w:t>.</w:t>
      </w:r>
    </w:p>
    <w:p w14:paraId="7ECA22EF" w14:textId="4E5008C0" w:rsidR="00175C8C" w:rsidRDefault="00175C8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341E944" w14:textId="7789DC02" w:rsidR="00175C8C" w:rsidRPr="00B877BB" w:rsidRDefault="00175C8C" w:rsidP="00175C8C">
      <w:pPr>
        <w:spacing w:after="0" w:line="240" w:lineRule="auto"/>
        <w:rPr>
          <w:b/>
          <w:sz w:val="28"/>
          <w:u w:val="single"/>
        </w:rPr>
      </w:pPr>
      <w:r w:rsidRPr="00B877BB">
        <w:rPr>
          <w:b/>
          <w:sz w:val="28"/>
          <w:u w:val="single"/>
        </w:rPr>
        <w:lastRenderedPageBreak/>
        <w:t xml:space="preserve">Instructions </w:t>
      </w:r>
      <w:r>
        <w:rPr>
          <w:b/>
          <w:sz w:val="28"/>
          <w:u w:val="single"/>
        </w:rPr>
        <w:t>to submit data online</w:t>
      </w:r>
    </w:p>
    <w:p w14:paraId="40074054" w14:textId="01B83449" w:rsidR="00807EFA" w:rsidRDefault="00981283" w:rsidP="00807EFA">
      <w:pPr>
        <w:tabs>
          <w:tab w:val="left" w:pos="6750"/>
        </w:tabs>
        <w:spacing w:after="0" w:line="240" w:lineRule="auto"/>
        <w:rPr>
          <w:noProof/>
        </w:rPr>
      </w:pPr>
      <w:r>
        <w:t xml:space="preserve">CEA will host a webinar on December 5, 2018 at noon to review the Annual Report package requirements for accredited sites.  The webinar recording will be published at </w:t>
      </w:r>
      <w:hyperlink r:id="rId11" w:history="1">
        <w:r w:rsidRPr="002E7EC8">
          <w:rPr>
            <w:rStyle w:val="Hyperlink"/>
          </w:rPr>
          <w:t>www.cea-accredit.org/resources</w:t>
        </w:r>
      </w:hyperlink>
      <w:r>
        <w:t>.  Additional Q&amp;A webinars will be announced.</w:t>
      </w:r>
      <w:r w:rsidR="00927BE7">
        <w:t xml:space="preserve">  </w:t>
      </w:r>
      <w:r w:rsidR="00807EFA">
        <w:t>Using the online form (pictured below), sites are requested to enter the information.</w:t>
      </w:r>
      <w:r w:rsidR="00807EFA" w:rsidRPr="00256571">
        <w:rPr>
          <w:noProof/>
        </w:rPr>
        <w:t xml:space="preserve"> </w:t>
      </w:r>
    </w:p>
    <w:p w14:paraId="712C44D7" w14:textId="7D8872CD" w:rsidR="00807EFA" w:rsidRDefault="00B70D28">
      <w:pPr>
        <w:rPr>
          <w:noProof/>
        </w:rPr>
      </w:pPr>
      <w:r w:rsidRPr="00C57D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8DA8C" wp14:editId="2D96B65A">
                <wp:simplePos x="0" y="0"/>
                <wp:positionH relativeFrom="page">
                  <wp:posOffset>4432935</wp:posOffset>
                </wp:positionH>
                <wp:positionV relativeFrom="paragraph">
                  <wp:posOffset>1191895</wp:posOffset>
                </wp:positionV>
                <wp:extent cx="2560320" cy="753745"/>
                <wp:effectExtent l="0" t="0" r="1143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6E90" w14:textId="45BA62B6" w:rsidR="00C57DF0" w:rsidRDefault="00C57DF0">
                            <w:r>
                              <w:t>Responses to this form, including a confirmation email, will be sent to this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8DA8C" id="_x0000_s1027" type="#_x0000_t202" style="position:absolute;margin-left:349.05pt;margin-top:93.85pt;width:201.6pt;height:59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">
                <v:textbox style="mso-fit-shape-to-text:t">
                  <w:txbxContent>
                    <w:p w14:paraId="3C826E90" w14:textId="45BA62B6" w:rsidR="00C57DF0" w:rsidRDefault="00C57DF0">
                      <w:r>
                        <w:t>Responses to this form, including a confirmation email, will be sent to this email address.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6E49" w:rsidRPr="00C57D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BA623" wp14:editId="6DF57AEC">
                <wp:simplePos x="0" y="0"/>
                <wp:positionH relativeFrom="page">
                  <wp:posOffset>4423410</wp:posOffset>
                </wp:positionH>
                <wp:positionV relativeFrom="paragraph">
                  <wp:posOffset>2152015</wp:posOffset>
                </wp:positionV>
                <wp:extent cx="2560320" cy="753745"/>
                <wp:effectExtent l="0" t="0" r="11430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BBAD" w14:textId="32322796" w:rsidR="00807EFA" w:rsidRDefault="00C57DF0" w:rsidP="00C57DF0">
                            <w:r>
                              <w:t xml:space="preserve">Sites can find their Site ID# on CEA’s list of Accredited Sites.  </w:t>
                            </w:r>
                            <w:hyperlink r:id="rId12" w:history="1">
                              <w:r w:rsidR="00807EFA" w:rsidRPr="008470FC">
                                <w:rPr>
                                  <w:rStyle w:val="Hyperlink"/>
                                </w:rPr>
                                <w:t>www.cea-accredit.org/accredited-sites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BA623" id="_x0000_s1028" type="#_x0000_t202" style="position:absolute;margin-left:348.3pt;margin-top:169.45pt;width:201.6pt;height:59.3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">
                <v:textbox style="mso-fit-shape-to-text:t">
                  <w:txbxContent>
                    <w:p w14:paraId="5DD6BBAD" w14:textId="32322796" w:rsidR="00807EFA" w:rsidRDefault="00C57DF0" w:rsidP="00C57DF0">
                      <w:r>
                        <w:t xml:space="preserve">Sites can find their Site ID# on CEA’s list of Accredited Sites.  </w:t>
                      </w:r>
                      <w:hyperlink r:id="rId13" w:history="1">
                        <w:r w:rsidR="00807EFA" w:rsidRPr="008470FC">
                          <w:rPr>
                            <w:rStyle w:val="Hyperlink"/>
                          </w:rPr>
                          <w:t>www.cea-accredit.org/accredited-sites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B70D28">
        <w:rPr>
          <w:noProof/>
        </w:rPr>
        <w:t xml:space="preserve"> </w:t>
      </w:r>
      <w:r w:rsidR="00807EFA">
        <w:rPr>
          <w:noProof/>
        </w:rPr>
        <w:drawing>
          <wp:inline distT="0" distB="0" distL="0" distR="0" wp14:anchorId="140048A5" wp14:editId="26716D82">
            <wp:extent cx="3769854" cy="7115175"/>
            <wp:effectExtent l="76200" t="76200" r="135890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2020" cy="71570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71F053" w14:textId="77777777" w:rsidR="00807EFA" w:rsidRDefault="00807EFA">
      <w:pPr>
        <w:rPr>
          <w:noProof/>
        </w:rPr>
      </w:pPr>
      <w:r w:rsidRPr="00807EFA">
        <w:rPr>
          <w:noProof/>
        </w:rPr>
        <w:lastRenderedPageBreak/>
        <w:drawing>
          <wp:inline distT="0" distB="0" distL="0" distR="0" wp14:anchorId="22BF8F86" wp14:editId="6D16DCD0">
            <wp:extent cx="4667250" cy="6648450"/>
            <wp:effectExtent l="76200" t="76200" r="13335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64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ED2BD5" w14:textId="77777777" w:rsidR="00807EFA" w:rsidRDefault="00807EFA">
      <w:pPr>
        <w:rPr>
          <w:noProof/>
        </w:rPr>
      </w:pPr>
      <w:r>
        <w:rPr>
          <w:noProof/>
        </w:rPr>
        <w:br w:type="page"/>
      </w:r>
    </w:p>
    <w:p w14:paraId="76A90E97" w14:textId="1084373D" w:rsidR="00807EFA" w:rsidRDefault="00807EFA">
      <w:pPr>
        <w:rPr>
          <w:noProof/>
        </w:rPr>
      </w:pPr>
      <w:r w:rsidRPr="00807EFA">
        <w:rPr>
          <w:noProof/>
        </w:rPr>
        <w:lastRenderedPageBreak/>
        <w:drawing>
          <wp:inline distT="0" distB="0" distL="0" distR="0" wp14:anchorId="3B47CF6A" wp14:editId="148F8E53">
            <wp:extent cx="4638675" cy="2400300"/>
            <wp:effectExtent l="76200" t="76200" r="142875" b="133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370A06" w14:textId="77777777" w:rsidR="00FB504B" w:rsidRPr="00807EFA" w:rsidRDefault="00FB504B">
      <w:pPr>
        <w:rPr>
          <w:noProof/>
        </w:rPr>
      </w:pPr>
    </w:p>
    <w:sectPr w:rsidR="00FB504B" w:rsidRPr="00807EFA" w:rsidSect="003D18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898D" w14:textId="77777777" w:rsidR="00D51E97" w:rsidRDefault="00D51E97" w:rsidP="0078251B">
      <w:pPr>
        <w:spacing w:after="0" w:line="240" w:lineRule="auto"/>
      </w:pPr>
      <w:r>
        <w:separator/>
      </w:r>
    </w:p>
  </w:endnote>
  <w:endnote w:type="continuationSeparator" w:id="0">
    <w:p w14:paraId="258971CC" w14:textId="77777777" w:rsidR="00D51E97" w:rsidRDefault="00D51E97" w:rsidP="0078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7D8B" w14:textId="77777777" w:rsidR="00FB504B" w:rsidRDefault="00FB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9B0D" w14:textId="7709B706" w:rsidR="00B401F8" w:rsidRDefault="00B401F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07EFA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</w:t>
    </w:r>
    <w:r w:rsidR="00C57DF0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t xml:space="preserve"> (Word version of </w:t>
    </w:r>
    <w:r w:rsidR="00A37CEB">
      <w:rPr>
        <w:caps/>
        <w:noProof/>
        <w:color w:val="5B9BD5" w:themeColor="accent1"/>
      </w:rPr>
      <w:t>Instructions</w:t>
    </w:r>
    <w:r>
      <w:rPr>
        <w:caps/>
        <w:noProof/>
        <w:color w:val="5B9BD5" w:themeColor="accent1"/>
      </w:rPr>
      <w:t>)</w:t>
    </w:r>
  </w:p>
  <w:p w14:paraId="26A0151B" w14:textId="77777777" w:rsidR="00B401F8" w:rsidRDefault="00B40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19A7" w14:textId="77777777" w:rsidR="00FB504B" w:rsidRDefault="00FB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AC14" w14:textId="77777777" w:rsidR="00D51E97" w:rsidRDefault="00D51E97" w:rsidP="0078251B">
      <w:pPr>
        <w:spacing w:after="0" w:line="240" w:lineRule="auto"/>
      </w:pPr>
      <w:r>
        <w:separator/>
      </w:r>
    </w:p>
  </w:footnote>
  <w:footnote w:type="continuationSeparator" w:id="0">
    <w:p w14:paraId="04AFE0AF" w14:textId="77777777" w:rsidR="00D51E97" w:rsidRDefault="00D51E97" w:rsidP="0078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8C57" w14:textId="77777777" w:rsidR="00FB504B" w:rsidRDefault="00FB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A877" w14:textId="4E4443E6" w:rsidR="00FB504B" w:rsidRDefault="00FB5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DD4C" w14:textId="77777777" w:rsidR="00FB504B" w:rsidRDefault="00FB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4B0"/>
    <w:multiLevelType w:val="hybridMultilevel"/>
    <w:tmpl w:val="79A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28C7"/>
    <w:multiLevelType w:val="hybridMultilevel"/>
    <w:tmpl w:val="4A42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21738"/>
    <w:multiLevelType w:val="hybridMultilevel"/>
    <w:tmpl w:val="F342B516"/>
    <w:lvl w:ilvl="0" w:tplc="53042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21D11"/>
    <w:multiLevelType w:val="hybridMultilevel"/>
    <w:tmpl w:val="B3AC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4265"/>
    <w:multiLevelType w:val="hybridMultilevel"/>
    <w:tmpl w:val="B4EE906A"/>
    <w:lvl w:ilvl="0" w:tplc="53042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5"/>
    <w:rsid w:val="00036A08"/>
    <w:rsid w:val="001226D6"/>
    <w:rsid w:val="00126A1A"/>
    <w:rsid w:val="00152F86"/>
    <w:rsid w:val="00163BC3"/>
    <w:rsid w:val="00175C8C"/>
    <w:rsid w:val="001D7C3E"/>
    <w:rsid w:val="0020172A"/>
    <w:rsid w:val="002315B8"/>
    <w:rsid w:val="00256571"/>
    <w:rsid w:val="00291AE7"/>
    <w:rsid w:val="002B00E2"/>
    <w:rsid w:val="003067B8"/>
    <w:rsid w:val="003D1815"/>
    <w:rsid w:val="003E4BEE"/>
    <w:rsid w:val="004B7E96"/>
    <w:rsid w:val="004D11B4"/>
    <w:rsid w:val="005429E6"/>
    <w:rsid w:val="00603F4F"/>
    <w:rsid w:val="006708DF"/>
    <w:rsid w:val="006B0B56"/>
    <w:rsid w:val="006C3232"/>
    <w:rsid w:val="006F3DBC"/>
    <w:rsid w:val="00710352"/>
    <w:rsid w:val="0078251B"/>
    <w:rsid w:val="007E153D"/>
    <w:rsid w:val="00807EFA"/>
    <w:rsid w:val="00876AC3"/>
    <w:rsid w:val="008E1D89"/>
    <w:rsid w:val="00913A56"/>
    <w:rsid w:val="00927BE7"/>
    <w:rsid w:val="0095152A"/>
    <w:rsid w:val="00951EF6"/>
    <w:rsid w:val="00981283"/>
    <w:rsid w:val="009A34C9"/>
    <w:rsid w:val="009C4224"/>
    <w:rsid w:val="00A148A5"/>
    <w:rsid w:val="00A315B0"/>
    <w:rsid w:val="00A37CEB"/>
    <w:rsid w:val="00A85E0F"/>
    <w:rsid w:val="00AC512B"/>
    <w:rsid w:val="00AD3868"/>
    <w:rsid w:val="00AE697F"/>
    <w:rsid w:val="00B07850"/>
    <w:rsid w:val="00B10B49"/>
    <w:rsid w:val="00B1147F"/>
    <w:rsid w:val="00B16E49"/>
    <w:rsid w:val="00B401F8"/>
    <w:rsid w:val="00B50AFE"/>
    <w:rsid w:val="00B514A9"/>
    <w:rsid w:val="00B52446"/>
    <w:rsid w:val="00B70D28"/>
    <w:rsid w:val="00B877BB"/>
    <w:rsid w:val="00C20A67"/>
    <w:rsid w:val="00C214F7"/>
    <w:rsid w:val="00C50ABB"/>
    <w:rsid w:val="00C57DF0"/>
    <w:rsid w:val="00C96981"/>
    <w:rsid w:val="00CD2742"/>
    <w:rsid w:val="00CF1654"/>
    <w:rsid w:val="00D51E97"/>
    <w:rsid w:val="00D85ECB"/>
    <w:rsid w:val="00E00D7A"/>
    <w:rsid w:val="00E60E7E"/>
    <w:rsid w:val="00E74A27"/>
    <w:rsid w:val="00E81523"/>
    <w:rsid w:val="00E82C20"/>
    <w:rsid w:val="00FB504B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4E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523"/>
    <w:pPr>
      <w:ind w:left="720"/>
      <w:contextualSpacing/>
    </w:pPr>
  </w:style>
  <w:style w:type="table" w:styleId="TableGrid">
    <w:name w:val="Table Grid"/>
    <w:basedOn w:val="TableNormal"/>
    <w:uiPriority w:val="39"/>
    <w:rsid w:val="00E8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1B"/>
  </w:style>
  <w:style w:type="paragraph" w:styleId="Footer">
    <w:name w:val="footer"/>
    <w:basedOn w:val="Normal"/>
    <w:link w:val="FooterChar"/>
    <w:uiPriority w:val="99"/>
    <w:unhideWhenUsed/>
    <w:rsid w:val="0078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1B"/>
  </w:style>
  <w:style w:type="character" w:styleId="CommentReference">
    <w:name w:val="annotation reference"/>
    <w:basedOn w:val="DefaultParagraphFont"/>
    <w:uiPriority w:val="99"/>
    <w:semiHidden/>
    <w:unhideWhenUsed/>
    <w:rsid w:val="00231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B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4A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50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a-accredit.org/accredited-sit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cea-accredit.org/accredited-sit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a-accredit.org/resourc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3" ma:contentTypeDescription="Create a new document." ma:contentTypeScope="" ma:versionID="400d2afec795930fec3183408e0d992b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f9b38bd7646fd3b1556ffac4aec5af3e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223D0-8180-4475-9C2D-A47AF81BE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444DC-998E-4116-85AA-81400F86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1C45E-30AD-4BD5-9962-EAA2CBFAF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2018-11-07T18:49:00Z</dcterms:created>
  <dcterms:modified xsi:type="dcterms:W3CDTF">2018-11-07T19:10:00Z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